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600861</w:t>
      </w:r>
      <w:bookmarkStart w:id="8" w:name="_GoBack"/>
      <w:bookmarkEnd w:id="8"/>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eastAsia" w:ascii="Times New Roman" w:hAnsi="Times New Roman" w:eastAsia="宋体" w:cs="Times New Roman"/>
          <w:b/>
          <w:sz w:val="24"/>
          <w:szCs w:val="24"/>
          <w:highlight w:val="cyan"/>
          <w:lang w:eastAsia="zh-CN"/>
        </w:rPr>
      </w:pPr>
      <w:r>
        <w:rPr>
          <w:rFonts w:hint="eastAsia"/>
          <w:b/>
          <w:sz w:val="24"/>
          <w:szCs w:val="24"/>
          <w:highlight w:val="none"/>
          <w:lang w:eastAsia="zh-CN"/>
        </w:rPr>
        <w:t>Gothenburg, Sweden, Feb. 09-13</w:t>
      </w:r>
      <w:r>
        <w:rPr>
          <w:rFonts w:hint="default" w:ascii="Times New Roman" w:hAnsi="Times New Roman" w:eastAsia="宋体" w:cs="Times New Roman"/>
          <w:b/>
          <w:sz w:val="24"/>
          <w:szCs w:val="24"/>
          <w:lang w:eastAsia="zh-CN"/>
        </w:rPr>
        <w:t>,</w:t>
      </w:r>
      <w:r>
        <w:rPr>
          <w:rFonts w:hint="default" w:ascii="Times New Roman" w:hAnsi="Times New Roman" w:cs="Times New Roman"/>
          <w:b/>
          <w:bCs/>
          <w:sz w:val="24"/>
          <w:szCs w:val="24"/>
          <w:highlight w:val="none"/>
        </w:rPr>
        <w:t xml:space="preserve"> 202</w:t>
      </w:r>
      <w:r>
        <w:rPr>
          <w:rFonts w:hint="eastAsia" w:eastAsia="宋体" w:cs="Times New Roman"/>
          <w:b/>
          <w:bCs/>
          <w:sz w:val="24"/>
          <w:szCs w:val="24"/>
          <w:highlight w:val="none"/>
          <w:lang w:val="en-US" w:eastAsia="zh-CN"/>
        </w:rPr>
        <w:t>6</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4</w:t>
      </w:r>
      <w:r>
        <w:rPr>
          <w:rFonts w:ascii="Times New Roman" w:hAnsi="Times New Roman"/>
          <w:sz w:val="22"/>
          <w:highlight w:val="none"/>
        </w:rPr>
        <w:t>.</w:t>
      </w:r>
      <w:r>
        <w:rPr>
          <w:rFonts w:hint="eastAsia" w:ascii="Times New Roman" w:hAnsi="Times New Roman"/>
          <w:sz w:val="22"/>
          <w:highlight w:val="none"/>
          <w:lang w:val="en-US" w:eastAsia="zh-CN"/>
        </w:rPr>
        <w:t>31</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core requirement and testing framework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 xml:space="preserve">his contribution provides discussion on RRM </w:t>
      </w:r>
      <w:r>
        <w:rPr>
          <w:rFonts w:hint="eastAsia" w:ascii="Times New Roman" w:hAnsi="Times New Roman"/>
          <w:sz w:val="20"/>
          <w:szCs w:val="20"/>
          <w:lang w:val="en-US" w:eastAsia="zh-CN"/>
        </w:rPr>
        <w:t xml:space="preserve">core </w:t>
      </w:r>
      <w:r>
        <w:rPr>
          <w:rFonts w:hint="eastAsia" w:ascii="Times New Roman" w:hAnsi="Times New Roman"/>
          <w:sz w:val="20"/>
          <w:szCs w:val="20"/>
        </w:rPr>
        <w:t>requirements for beam management.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590B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B7434C1">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1</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Measurement period for inference – case 2</w:t>
            </w:r>
          </w:p>
          <w:p w14:paraId="7CFD0648">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Agreement:</w:t>
            </w:r>
          </w:p>
          <w:p w14:paraId="11E6E7BA">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For BM-case 2 measurement period for inference, RAN4 only specifies the requirements for M=1.</w:t>
            </w:r>
          </w:p>
          <w:p w14:paraId="62548FE1">
            <w:pPr>
              <w:pStyle w:val="13"/>
              <w:numPr>
                <w:ilvl w:val="0"/>
                <w:numId w:val="5"/>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K: number of RS transmission occasions, which can be measured per Rx beam.</w:t>
            </w:r>
          </w:p>
          <w:p w14:paraId="61208540">
            <w:pPr>
              <w:pStyle w:val="13"/>
              <w:numPr>
                <w:ilvl w:val="0"/>
                <w:numId w:val="5"/>
              </w:numPr>
              <w:overflowPunct w:val="0"/>
              <w:autoSpaceDE w:val="0"/>
              <w:autoSpaceDN w:val="0"/>
              <w:adjustRightInd w:val="0"/>
              <w:spacing w:after="12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M:CSI reference resource occasions</w:t>
            </w:r>
          </w:p>
          <w:p w14:paraId="4C870B5D">
            <w:pPr>
              <w:rPr>
                <w:rFonts w:hint="default" w:ascii="Times New Roman" w:hAnsi="Times New Roman" w:eastAsia="游明朝" w:cs="Times New Roman"/>
                <w:sz w:val="20"/>
                <w:szCs w:val="20"/>
                <w:lang w:eastAsia="ja-JP"/>
              </w:rPr>
            </w:pPr>
          </w:p>
          <w:p w14:paraId="73BA1D27">
            <w:pPr>
              <w:rPr>
                <w:rFonts w:hint="default" w:ascii="Times New Roman" w:hAnsi="Times New Roman" w:eastAsia="游明朝" w:cs="Times New Roman"/>
                <w:b/>
                <w:sz w:val="20"/>
                <w:szCs w:val="20"/>
                <w:u w:val="single"/>
                <w:lang w:eastAsia="ja-JP"/>
              </w:rPr>
            </w:pPr>
            <w:r>
              <w:rPr>
                <w:rFonts w:hint="default" w:ascii="Times New Roman" w:hAnsi="Times New Roman" w:eastAsia="游明朝" w:cs="Times New Roman"/>
                <w:b/>
                <w:sz w:val="20"/>
                <w:szCs w:val="20"/>
                <w:u w:val="single"/>
                <w:lang w:eastAsia="ja-JP"/>
              </w:rPr>
              <w:t xml:space="preserve">Issue 2-2: TCI State Switching Clarifications </w:t>
            </w:r>
          </w:p>
          <w:p w14:paraId="53CD18FC">
            <w:pPr>
              <w:spacing w:after="12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Agreement</w:t>
            </w:r>
          </w:p>
          <w:p w14:paraId="7E445083">
            <w:pPr>
              <w:pStyle w:val="13"/>
              <w:numPr>
                <w:ilvl w:val="0"/>
                <w:numId w:val="6"/>
              </w:numPr>
              <w:spacing w:after="120"/>
              <w:ind w:left="936" w:firstLineChars="0"/>
              <w:rPr>
                <w:rFonts w:hint="default" w:ascii="Times New Roman" w:hAnsi="Times New Roman" w:cs="Times New Roman"/>
                <w:iCs/>
                <w:sz w:val="20"/>
                <w:szCs w:val="20"/>
                <w:lang w:eastAsia="zh-CN"/>
              </w:rPr>
            </w:pPr>
            <w:r>
              <w:rPr>
                <w:rFonts w:hint="default" w:ascii="Times New Roman" w:hAnsi="Times New Roman" w:eastAsia="游明朝" w:cs="Times New Roman"/>
                <w:iCs/>
                <w:sz w:val="20"/>
                <w:szCs w:val="20"/>
                <w:lang w:eastAsia="ja-JP"/>
              </w:rPr>
              <w:t>RAN4 to confirm that the statement ‘TCI state remains detectable’ means side condition for detectable is met throughout the time period.</w:t>
            </w:r>
          </w:p>
          <w:p w14:paraId="1DD1B10C">
            <w:pPr>
              <w:pStyle w:val="13"/>
              <w:numPr>
                <w:ilvl w:val="0"/>
                <w:numId w:val="6"/>
              </w:numPr>
              <w:spacing w:after="120"/>
              <w:ind w:left="936" w:firstLineChars="0"/>
              <w:rPr>
                <w:rFonts w:hint="default" w:ascii="Times New Roman" w:hAnsi="Times New Roman" w:cs="Times New Roman"/>
                <w:iCs/>
                <w:sz w:val="20"/>
                <w:szCs w:val="20"/>
                <w:lang w:eastAsia="zh-CN"/>
              </w:rPr>
            </w:pPr>
            <w:r>
              <w:rPr>
                <w:rFonts w:hint="default" w:ascii="Times New Roman" w:hAnsi="Times New Roman" w:eastAsia="游明朝" w:cs="Times New Roman"/>
                <w:iCs/>
                <w:sz w:val="20"/>
                <w:szCs w:val="20"/>
                <w:lang w:eastAsia="ja-JP"/>
              </w:rPr>
              <w:t xml:space="preserve">The term ”predictable” won’t be used in the description of the side condition. </w:t>
            </w:r>
          </w:p>
          <w:p w14:paraId="3EC4406A">
            <w:pPr>
              <w:rPr>
                <w:rFonts w:hint="default" w:ascii="Times New Roman" w:hAnsi="Times New Roman" w:eastAsia="游明朝" w:cs="Times New Roman"/>
                <w:sz w:val="20"/>
                <w:szCs w:val="20"/>
                <w:lang w:eastAsia="ja-JP"/>
              </w:rPr>
            </w:pPr>
          </w:p>
          <w:p w14:paraId="2C5246CF">
            <w:pPr>
              <w:rPr>
                <w:rFonts w:hint="default" w:ascii="Times New Roman" w:hAnsi="Times New Roman" w:eastAsia="游明朝" w:cs="Times New Roman"/>
                <w:b/>
                <w:sz w:val="20"/>
                <w:szCs w:val="20"/>
                <w:highlight w:val="none"/>
                <w:u w:val="single"/>
                <w:lang w:eastAsia="ja-JP"/>
              </w:rPr>
            </w:pPr>
            <w:r>
              <w:rPr>
                <w:rFonts w:hint="default" w:ascii="Times New Roman" w:hAnsi="Times New Roman" w:eastAsia="游明朝" w:cs="Times New Roman"/>
                <w:b/>
                <w:sz w:val="20"/>
                <w:szCs w:val="20"/>
                <w:highlight w:val="none"/>
                <w:u w:val="single"/>
                <w:lang w:eastAsia="ja-JP"/>
              </w:rPr>
              <w:t>Issue 2-6: Value of x</w:t>
            </w:r>
          </w:p>
          <w:p w14:paraId="4E852872">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Agreement:</w:t>
            </w:r>
          </w:p>
          <w:p w14:paraId="35FD2DD6">
            <w:pPr>
              <w:pStyle w:val="13"/>
              <w:numPr>
                <w:ilvl w:val="3"/>
                <w:numId w:val="7"/>
              </w:numPr>
              <w:overflowPunct w:val="0"/>
              <w:autoSpaceDE w:val="0"/>
              <w:autoSpaceDN w:val="0"/>
              <w:adjustRightInd w:val="0"/>
              <w:ind w:left="1620" w:hanging="360"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Regarding the metric for beam ID only prediction, where top-1 predicted beam(s) are reported, RAN4 requirements are specified based on the Y% of probability that the ground truth RSRP of the predicted beam is larger than or equal to the ground-truth RSRP of the strongest genie-aided beam(s) – X dB</w:t>
            </w:r>
          </w:p>
          <w:p w14:paraId="4CD42BDB">
            <w:pPr>
              <w:pStyle w:val="13"/>
              <w:numPr>
                <w:ilvl w:val="4"/>
                <w:numId w:val="7"/>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X and Y are TBD based on the simulations</w:t>
            </w:r>
          </w:p>
          <w:p w14:paraId="02A3447B">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iCs/>
                <w:sz w:val="20"/>
                <w:szCs w:val="20"/>
                <w:lang w:eastAsia="ja-JP"/>
              </w:rPr>
              <w:t xml:space="preserve">Regarding the metric for RSRP+beam ID prediction, only RSRP accuracy requirement will be defined. </w:t>
            </w:r>
          </w:p>
          <w:p w14:paraId="23088DDD">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9108069">
      <w:pPr>
        <w:spacing w:after="180" w:line="240" w:lineRule="exact"/>
        <w:rPr>
          <w:rFonts w:hint="eastAsia" w:ascii="Times New Roman" w:hAnsi="Times New Roman" w:eastAsia="等线"/>
          <w:bCs/>
          <w:iCs/>
          <w:sz w:val="20"/>
          <w:szCs w:val="20"/>
          <w:lang w:val="en-US" w:eastAsia="zh-CN"/>
        </w:rPr>
      </w:pPr>
    </w:p>
    <w:p w14:paraId="14ECA8B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open issue is relative RSRP accuracy. As duplicated as below, there is definition of relative RSRP accuracy for case 1, but there are still some FFS.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4A91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DD404AF">
            <w:pPr>
              <w:rPr>
                <w:rFonts w:hint="eastAsia" w:ascii="Times New Roman" w:hAnsi="Times New Roman" w:cs="Times New Roman"/>
                <w:b/>
                <w:sz w:val="20"/>
                <w:szCs w:val="20"/>
                <w:u w:val="none"/>
                <w:lang w:val="en-US" w:eastAsia="zh-CN"/>
              </w:rPr>
            </w:pPr>
            <w:r>
              <w:rPr>
                <w:rFonts w:hint="eastAsia" w:ascii="Times New Roman" w:hAnsi="Times New Roman" w:cs="Times New Roman"/>
                <w:b/>
                <w:sz w:val="20"/>
                <w:szCs w:val="20"/>
                <w:u w:val="none"/>
                <w:lang w:val="en-US" w:eastAsia="zh-CN"/>
              </w:rPr>
              <w:t>Previous agreements on RSRP accuracy</w:t>
            </w:r>
          </w:p>
          <w:p w14:paraId="208380A7">
            <w:pPr>
              <w:rPr>
                <w:rFonts w:hint="default" w:ascii="Times New Roman" w:hAnsi="Times New Roman" w:cs="Times New Roman"/>
                <w:b/>
                <w:sz w:val="20"/>
                <w:szCs w:val="20"/>
                <w:u w:val="none"/>
                <w:lang w:val="en-US" w:eastAsia="zh-CN"/>
              </w:rPr>
            </w:pPr>
          </w:p>
          <w:p w14:paraId="6E6857B8">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t>
            </w:r>
            <w:r>
              <w:rPr>
                <w:rFonts w:hint="default" w:ascii="Times New Roman" w:hAnsi="Times New Roman" w:eastAsia="游明朝" w:cs="Times New Roman"/>
                <w:b/>
                <w:sz w:val="20"/>
                <w:szCs w:val="20"/>
                <w:u w:val="single"/>
                <w:lang w:eastAsia="ja-JP"/>
              </w:rPr>
              <w:t>Absolute RSRP accuracy</w:t>
            </w:r>
            <w:r>
              <w:rPr>
                <w:rFonts w:hint="default" w:ascii="Times New Roman" w:hAnsi="Times New Roman" w:cs="Times New Roman"/>
                <w:b/>
                <w:sz w:val="20"/>
                <w:szCs w:val="20"/>
                <w:u w:val="single"/>
                <w:lang w:eastAsia="ko-KR"/>
              </w:rPr>
              <w:t xml:space="preserve"> </w:t>
            </w:r>
          </w:p>
          <w:p w14:paraId="1F3B4A81">
            <w:pPr>
              <w:spacing w:after="120"/>
              <w:rPr>
                <w:rFonts w:hint="default" w:ascii="Times New Roman" w:hAnsi="Times New Roman" w:cs="Times New Roman"/>
                <w:iCs/>
                <w:sz w:val="20"/>
                <w:szCs w:val="20"/>
                <w:lang w:eastAsia="zh-CN"/>
              </w:rPr>
            </w:pPr>
            <w:r>
              <w:rPr>
                <w:rFonts w:hint="default" w:ascii="Times New Roman" w:hAnsi="Times New Roman" w:cs="Times New Roman"/>
                <w:iCs/>
                <w:sz w:val="20"/>
                <w:szCs w:val="20"/>
                <w:lang w:eastAsia="zh-CN"/>
              </w:rPr>
              <w:t>Agreement:</w:t>
            </w:r>
          </w:p>
          <w:p w14:paraId="7FFA109E">
            <w:pPr>
              <w:pStyle w:val="13"/>
              <w:numPr>
                <w:ilvl w:val="0"/>
                <w:numId w:val="8"/>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324A78C8">
            <w:pPr>
              <w:pStyle w:val="13"/>
              <w:numPr>
                <w:ilvl w:val="1"/>
                <w:numId w:val="8"/>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0C1CD7A6">
            <w:pPr>
              <w:rPr>
                <w:rFonts w:hint="default" w:ascii="Times New Roman" w:hAnsi="Times New Roman" w:eastAsia="游明朝" w:cs="Times New Roman"/>
                <w:sz w:val="20"/>
                <w:szCs w:val="20"/>
                <w:lang w:eastAsia="ja-JP"/>
              </w:rPr>
            </w:pPr>
          </w:p>
          <w:p w14:paraId="6F941344">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Relative RSRP accuracy</w:t>
            </w:r>
            <w:r>
              <w:rPr>
                <w:rFonts w:hint="default" w:ascii="Times New Roman" w:hAnsi="Times New Roman" w:cs="Times New Roman"/>
                <w:b/>
                <w:sz w:val="20"/>
                <w:szCs w:val="20"/>
                <w:u w:val="single"/>
                <w:lang w:eastAsia="ko-KR"/>
              </w:rPr>
              <w:t xml:space="preserve"> </w:t>
            </w:r>
          </w:p>
          <w:p w14:paraId="063BC05D">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6C8C662A">
            <w:pPr>
              <w:pStyle w:val="13"/>
              <w:numPr>
                <w:ilvl w:val="0"/>
                <w:numId w:val="9"/>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7DFBD4AE">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6CC938E2">
            <w:pPr>
              <w:pStyle w:val="13"/>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4C572324">
            <w:pPr>
              <w:pStyle w:val="13"/>
              <w:numPr>
                <w:ilvl w:val="2"/>
                <w:numId w:val="9"/>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1D0A547B">
            <w:pPr>
              <w:pStyle w:val="13"/>
              <w:numPr>
                <w:ilvl w:val="1"/>
                <w:numId w:val="9"/>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2571BE11">
            <w:pPr>
              <w:spacing w:after="180" w:line="240" w:lineRule="exact"/>
              <w:rPr>
                <w:rFonts w:hint="default" w:ascii="Times New Roman" w:hAnsi="Times New Roman" w:eastAsia="宋体" w:cs="Times New Roman"/>
                <w:sz w:val="20"/>
                <w:szCs w:val="20"/>
                <w:vertAlign w:val="baseline"/>
                <w:lang w:val="en-US" w:eastAsia="zh-CN"/>
              </w:rPr>
            </w:pPr>
          </w:p>
        </w:tc>
      </w:tr>
    </w:tbl>
    <w:p w14:paraId="2EE87B14">
      <w:pPr>
        <w:spacing w:after="180" w:line="240" w:lineRule="exact"/>
        <w:rPr>
          <w:rFonts w:hint="default" w:ascii="Times New Roman" w:hAnsi="Times New Roman" w:eastAsia="宋体"/>
          <w:sz w:val="20"/>
          <w:szCs w:val="20"/>
          <w:lang w:val="en-US" w:eastAsia="zh-CN"/>
        </w:rPr>
      </w:pPr>
    </w:p>
    <w:p w14:paraId="537F436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for relative RSRP accuracy for case 1 is whether reported L1-RSRP can be measured RSRP. RAN1 agreed that for report content of inference results for UE-sided model for BM-Case 1, the RSRP of predicted beam(s)in the report of inference results, is the predicted RSRP, where the predicted RSRP is based on AI/ML output. It is clear that measured RSRP are not allowed to report.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F15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11C269DF">
            <w:pPr>
              <w:spacing w:after="180" w:line="240" w:lineRule="exact"/>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w:t>
            </w:r>
          </w:p>
          <w:p w14:paraId="46C6C1CC">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0DDC9A91">
            <w:pPr>
              <w:tabs>
                <w:tab w:val="left" w:pos="720"/>
              </w:tabs>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5640D3F3">
            <w:pPr>
              <w:rPr>
                <w:rFonts w:hint="default" w:ascii="Times New Roman" w:hAnsi="Times New Roman" w:eastAsia="等线" w:cs="Times New Roman"/>
                <w:sz w:val="20"/>
                <w:szCs w:val="20"/>
                <w:highlight w:val="green"/>
                <w:lang w:val="en-US" w:eastAsia="zh-CN"/>
              </w:rPr>
            </w:pPr>
            <w:r>
              <w:rPr>
                <w:rFonts w:hint="default" w:ascii="Times New Roman" w:hAnsi="Times New Roman" w:cs="Times New Roman"/>
                <w:sz w:val="20"/>
                <w:szCs w:val="20"/>
              </w:rPr>
              <w:t>Note: how to capture it in the spec is a separate discussion.</w:t>
            </w:r>
          </w:p>
        </w:tc>
      </w:tr>
    </w:tbl>
    <w:p w14:paraId="4B733949">
      <w:pPr>
        <w:spacing w:after="180" w:line="240" w:lineRule="exact"/>
        <w:rPr>
          <w:rFonts w:hint="eastAsia" w:ascii="Times New Roman" w:hAnsi="Times New Roman" w:eastAsia="等线"/>
          <w:bCs/>
          <w:iCs/>
          <w:sz w:val="20"/>
          <w:szCs w:val="20"/>
          <w:lang w:val="en-US" w:eastAsia="zh-CN"/>
        </w:rPr>
      </w:pPr>
    </w:p>
    <w:p w14:paraId="541422C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3931F8E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FFS is whether beam index n owns the largest reported value. As discussed above, RAN1 agree that only largest predicted RSRP is reported as absolute RSRP, other RSRP are reported as differential predicted RSRP with reference to the largest predicted RSRP. With the agreements, it is reasonable that beam index n owns the largest reported value.</w:t>
      </w:r>
    </w:p>
    <w:p w14:paraId="2C92FD8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relative RSRP accuracy, it is proposed that beam index n owns the largest reported value. </w:t>
      </w:r>
    </w:p>
    <w:p w14:paraId="3812064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above consideration, for case 1, the relative RSRP accuracy is proposed as (predicted L1-RSRP of beam index i - predicted L1-RSRP of beam index n) - (ground truth of L1-RSRP of beam index i - ground truth of L1-RSRP of beam index n), where the beam index n owns the largest reported value.</w:t>
      </w:r>
    </w:p>
    <w:p w14:paraId="173995D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BM case 1, it is proposed that </w:t>
      </w:r>
    </w:p>
    <w:p w14:paraId="3D5A61A8">
      <w:pPr>
        <w:numPr>
          <w:ilvl w:val="0"/>
          <w:numId w:val="10"/>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The r</w:t>
      </w:r>
      <w:r>
        <w:rPr>
          <w:rFonts w:hint="eastAsia" w:ascii="Times New Roman" w:hAnsi="Times New Roman" w:eastAsia="等线"/>
          <w:b/>
          <w:bCs w:val="0"/>
          <w:i/>
          <w:iCs w:val="0"/>
          <w:color w:val="auto"/>
          <w:sz w:val="20"/>
          <w:szCs w:val="20"/>
          <w:lang w:val="en-US" w:eastAsia="zh-CN"/>
        </w:rPr>
        <w:t xml:space="preserve">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349AC89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BM case 2 is temporal downlink beam prediction for Set A of beams based on the historic measurement results of Set B of beams. The model output is the L1-RSRP prediction of furture N time instances with K beams for each time instances. According to RAN1 agreements on the inference report for BM case2, RSRP #1 of time instance #1 is absolute RSRP; and the remaining RSRP are differential RSRP with reference to the largest predicted RSRP corresponding to CRI or SSBRI #1 of time instance #1. Time instance #1 corresponds to the time instance indicated by the time instance indicator. Since multiple time instances are consdiered, the relative accuracy for BM case2 need to be updated to reflect different time instance. Based on above consideration, the relative accuracy for BM case2 is proposed as (predicted L1-RSRP of beam index i for time instance m - predicted L1-RSRP of beam index n) - (ground truth of L1-RSRP of beam index i for time instance m - ground truth of L1-RSRP of beam index n), where the beam index n owns the largest reported value, 1&lt;=m&lt;=M where M is the number of time instance. </w:t>
      </w:r>
    </w:p>
    <w:p w14:paraId="761E6003">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Proposal 4: for </w:t>
      </w:r>
      <w:r>
        <w:rPr>
          <w:rFonts w:hint="eastAsia" w:ascii="Times New Roman" w:hAnsi="Times New Roman" w:eastAsia="等线"/>
          <w:b/>
          <w:bCs w:val="0"/>
          <w:i/>
          <w:iCs w:val="0"/>
          <w:color w:val="auto"/>
          <w:sz w:val="20"/>
          <w:szCs w:val="20"/>
          <w:lang w:val="en-US" w:eastAsia="zh-CN"/>
        </w:rPr>
        <w:t xml:space="preserve">BM case 2, it is proposed that </w:t>
      </w:r>
    </w:p>
    <w:p w14:paraId="675AAAC9">
      <w:pPr>
        <w:numPr>
          <w:ilvl w:val="0"/>
          <w:numId w:val="10"/>
        </w:numPr>
        <w:spacing w:after="180" w:line="240" w:lineRule="exact"/>
        <w:ind w:left="420" w:leftChars="0" w:hanging="420" w:firstLineChars="0"/>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5AB1DACB">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core requirements</w:t>
      </w:r>
      <w:r>
        <w:rPr>
          <w:rFonts w:hint="eastAsia" w:ascii="Times New Roman" w:hAnsi="Times New Roman"/>
          <w:sz w:val="20"/>
          <w:szCs w:val="20"/>
        </w:rPr>
        <w:t xml:space="preserve"> for beam management. The proposals are:</w:t>
      </w:r>
    </w:p>
    <w:p w14:paraId="6667FF3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5B3F821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relative RSRP accuracy, it is proposed that beam index n owns the largest reported value. </w:t>
      </w:r>
    </w:p>
    <w:p w14:paraId="3E640B2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BM case 1, it is proposed that </w:t>
      </w:r>
    </w:p>
    <w:p w14:paraId="7FBCA90E">
      <w:pPr>
        <w:numPr>
          <w:ilvl w:val="0"/>
          <w:numId w:val="10"/>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The r</w:t>
      </w:r>
      <w:r>
        <w:rPr>
          <w:rFonts w:hint="eastAsia" w:ascii="Times New Roman" w:hAnsi="Times New Roman" w:eastAsia="等线"/>
          <w:b/>
          <w:bCs w:val="0"/>
          <w:i/>
          <w:iCs w:val="0"/>
          <w:color w:val="auto"/>
          <w:sz w:val="20"/>
          <w:szCs w:val="20"/>
          <w:lang w:val="en-US" w:eastAsia="zh-CN"/>
        </w:rPr>
        <w:t xml:space="preserve">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7137C56F">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Proposal 4: for </w:t>
      </w:r>
      <w:r>
        <w:rPr>
          <w:rFonts w:hint="eastAsia" w:ascii="Times New Roman" w:hAnsi="Times New Roman" w:eastAsia="等线"/>
          <w:b/>
          <w:bCs w:val="0"/>
          <w:i/>
          <w:iCs w:val="0"/>
          <w:color w:val="auto"/>
          <w:sz w:val="20"/>
          <w:szCs w:val="20"/>
          <w:lang w:val="en-US" w:eastAsia="zh-CN"/>
        </w:rPr>
        <w:t xml:space="preserve">BM case 2, it is proposed that </w:t>
      </w:r>
    </w:p>
    <w:p w14:paraId="43BF35D3">
      <w:pPr>
        <w:numPr>
          <w:ilvl w:val="0"/>
          <w:numId w:val="10"/>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5"/>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5"/>
        <w:framePr w:wrap="auto" w:vAnchor="margin" w:hAnchor="text" w:yAlign="inline"/>
        <w:numPr>
          <w:ilvl w:val="0"/>
          <w:numId w:val="11"/>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39DF8C39">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R4-2522430</w:t>
      </w:r>
      <w:r>
        <w:rPr>
          <w:rFonts w:hint="eastAsia" w:ascii="Times" w:hAnsi="Times" w:eastAsia="宋体"/>
          <w:b w:val="0"/>
          <w:sz w:val="20"/>
          <w:lang w:val="en-US" w:eastAsia="zh-CN"/>
        </w:rPr>
        <w:t xml:space="preserve">, WF on [117][112] R19 AI for air interface, </w:t>
      </w:r>
      <w:r>
        <w:rPr>
          <w:rFonts w:hint="eastAsia" w:ascii="Times" w:hAnsi="Times" w:eastAsia="宋体"/>
          <w:b w:val="0"/>
          <w:sz w:val="20"/>
          <w:lang w:eastAsia="zh-CN"/>
        </w:rPr>
        <w:t>Qualcomm Incorporated</w:t>
      </w:r>
    </w:p>
    <w:p w14:paraId="4D4D083F">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R4-2514631</w:t>
      </w:r>
      <w:r>
        <w:rPr>
          <w:rFonts w:hint="eastAsia" w:ascii="Times" w:hAnsi="Times" w:eastAsia="宋体"/>
          <w:b w:val="0"/>
          <w:sz w:val="20"/>
          <w:lang w:val="en-US" w:eastAsia="zh-CN"/>
        </w:rPr>
        <w:t>, WF on [116bis][112] R19 AI for air interface</w:t>
      </w:r>
      <w:r>
        <w:rPr>
          <w:rFonts w:hint="eastAsia" w:ascii="Times" w:hAnsi="Times" w:eastAsia="宋体"/>
          <w:b w:val="0"/>
          <w:sz w:val="20"/>
          <w:lang w:eastAsia="zh-CN"/>
        </w:rPr>
        <w:t>, Qualcomm Incorporated</w:t>
      </w:r>
    </w:p>
    <w:p w14:paraId="6B6A316C">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5"/>
        <w:framePr w:wrap="auto" w:vAnchor="margin" w:hAnchor="text" w:yAlign="inline"/>
        <w:numPr>
          <w:ilvl w:val="0"/>
          <w:numId w:val="11"/>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9CE223"/>
    <w:multiLevelType w:val="multilevel"/>
    <w:tmpl w:val="049CE2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8">
    <w:nsid w:val="6D6C2638"/>
    <w:multiLevelType w:val="multilevel"/>
    <w:tmpl w:val="6D6C2638"/>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rPr>
    </w:lvl>
    <w:lvl w:ilvl="8" w:tentative="0">
      <w:start w:val="1"/>
      <w:numFmt w:val="bullet"/>
      <w:lvlText w:val=""/>
      <w:lvlJc w:val="left"/>
      <w:pPr>
        <w:ind w:left="6688" w:hanging="360"/>
      </w:pPr>
      <w:rPr>
        <w:rFonts w:hint="default" w:ascii="Wingdings" w:hAnsi="Wingdings"/>
      </w:rPr>
    </w:lvl>
  </w:abstractNum>
  <w:abstractNum w:abstractNumId="9">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0"/>
  </w:num>
  <w:num w:numId="2">
    <w:abstractNumId w:val="4"/>
  </w:num>
  <w:num w:numId="3">
    <w:abstractNumId w:val="3"/>
  </w:num>
  <w:num w:numId="4">
    <w:abstractNumId w:val="6"/>
  </w:num>
  <w:num w:numId="5">
    <w:abstractNumId w:val="8"/>
  </w:num>
  <w:num w:numId="6">
    <w:abstractNumId w:val="5"/>
  </w:num>
  <w:num w:numId="7">
    <w:abstractNumId w:val="2"/>
  </w:num>
  <w:num w:numId="8">
    <w:abstractNumId w:val="9"/>
  </w:num>
  <w:num w:numId="9">
    <w:abstractNumId w:val="7"/>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5FD1662"/>
    <w:rsid w:val="063103EA"/>
    <w:rsid w:val="065345EF"/>
    <w:rsid w:val="07AF30A6"/>
    <w:rsid w:val="084A6C23"/>
    <w:rsid w:val="08C01BD2"/>
    <w:rsid w:val="0A12645E"/>
    <w:rsid w:val="0A7A49BE"/>
    <w:rsid w:val="0AF12355"/>
    <w:rsid w:val="0BDF4286"/>
    <w:rsid w:val="0CFD51A3"/>
    <w:rsid w:val="0DE85960"/>
    <w:rsid w:val="0E2315D2"/>
    <w:rsid w:val="0EB3632D"/>
    <w:rsid w:val="0EEF4E8D"/>
    <w:rsid w:val="0FDE2595"/>
    <w:rsid w:val="0FE50EF5"/>
    <w:rsid w:val="107700EF"/>
    <w:rsid w:val="116B391A"/>
    <w:rsid w:val="13156148"/>
    <w:rsid w:val="151A3F0B"/>
    <w:rsid w:val="15685863"/>
    <w:rsid w:val="156D67CC"/>
    <w:rsid w:val="15774DC7"/>
    <w:rsid w:val="158970AB"/>
    <w:rsid w:val="15C5068C"/>
    <w:rsid w:val="16C20D68"/>
    <w:rsid w:val="16F371B0"/>
    <w:rsid w:val="17EE3251"/>
    <w:rsid w:val="1869036D"/>
    <w:rsid w:val="18C26AAD"/>
    <w:rsid w:val="19D35C0A"/>
    <w:rsid w:val="1A4B52AF"/>
    <w:rsid w:val="1B097409"/>
    <w:rsid w:val="1B8C2C7D"/>
    <w:rsid w:val="1BDE38AF"/>
    <w:rsid w:val="1C79747B"/>
    <w:rsid w:val="1EBD2056"/>
    <w:rsid w:val="200B553B"/>
    <w:rsid w:val="21A25EC1"/>
    <w:rsid w:val="21CD1190"/>
    <w:rsid w:val="21E42C76"/>
    <w:rsid w:val="22C91E20"/>
    <w:rsid w:val="239448A4"/>
    <w:rsid w:val="24BB4727"/>
    <w:rsid w:val="250671CD"/>
    <w:rsid w:val="25830931"/>
    <w:rsid w:val="259C54CD"/>
    <w:rsid w:val="27BB3844"/>
    <w:rsid w:val="295E6B72"/>
    <w:rsid w:val="2BA107CE"/>
    <w:rsid w:val="2E263656"/>
    <w:rsid w:val="300B3A07"/>
    <w:rsid w:val="308E7578"/>
    <w:rsid w:val="3159659D"/>
    <w:rsid w:val="31C72739"/>
    <w:rsid w:val="32420EA7"/>
    <w:rsid w:val="3295408B"/>
    <w:rsid w:val="34D830B0"/>
    <w:rsid w:val="36311397"/>
    <w:rsid w:val="36915B95"/>
    <w:rsid w:val="372F00FC"/>
    <w:rsid w:val="39696DC2"/>
    <w:rsid w:val="397B647A"/>
    <w:rsid w:val="39DC502A"/>
    <w:rsid w:val="3A2D7A1A"/>
    <w:rsid w:val="3A621190"/>
    <w:rsid w:val="3A692ADF"/>
    <w:rsid w:val="3A923B26"/>
    <w:rsid w:val="3ACA3C80"/>
    <w:rsid w:val="3ADD5C61"/>
    <w:rsid w:val="3CA05E05"/>
    <w:rsid w:val="3D0535AB"/>
    <w:rsid w:val="3DEB4836"/>
    <w:rsid w:val="3DEF01B7"/>
    <w:rsid w:val="3F7129B6"/>
    <w:rsid w:val="3FB76397"/>
    <w:rsid w:val="40905E46"/>
    <w:rsid w:val="41C815FA"/>
    <w:rsid w:val="43FC159A"/>
    <w:rsid w:val="45185DAE"/>
    <w:rsid w:val="4582291E"/>
    <w:rsid w:val="46A636F7"/>
    <w:rsid w:val="47F77D5E"/>
    <w:rsid w:val="4815134F"/>
    <w:rsid w:val="49574F07"/>
    <w:rsid w:val="4B525B6F"/>
    <w:rsid w:val="4BF70D1F"/>
    <w:rsid w:val="4C147660"/>
    <w:rsid w:val="4C9C083E"/>
    <w:rsid w:val="4D115B26"/>
    <w:rsid w:val="4D3D03C8"/>
    <w:rsid w:val="4D4D0662"/>
    <w:rsid w:val="4D85114F"/>
    <w:rsid w:val="4F234726"/>
    <w:rsid w:val="519613CC"/>
    <w:rsid w:val="5217567C"/>
    <w:rsid w:val="549E0D64"/>
    <w:rsid w:val="563034C0"/>
    <w:rsid w:val="566930C6"/>
    <w:rsid w:val="570617B9"/>
    <w:rsid w:val="57B0086C"/>
    <w:rsid w:val="5879537F"/>
    <w:rsid w:val="5999038C"/>
    <w:rsid w:val="5A715FC6"/>
    <w:rsid w:val="5A8626CC"/>
    <w:rsid w:val="5AC558FB"/>
    <w:rsid w:val="5AC66592"/>
    <w:rsid w:val="5B2B0B23"/>
    <w:rsid w:val="5CBC141D"/>
    <w:rsid w:val="5D0B4E13"/>
    <w:rsid w:val="5DE0757A"/>
    <w:rsid w:val="5DE63D68"/>
    <w:rsid w:val="5E145FE7"/>
    <w:rsid w:val="5E2B562E"/>
    <w:rsid w:val="5E47553D"/>
    <w:rsid w:val="5E6261E1"/>
    <w:rsid w:val="5ED80E84"/>
    <w:rsid w:val="624956CD"/>
    <w:rsid w:val="62A95749"/>
    <w:rsid w:val="62D046AC"/>
    <w:rsid w:val="634877EE"/>
    <w:rsid w:val="644D521F"/>
    <w:rsid w:val="65674A25"/>
    <w:rsid w:val="68CA01FA"/>
    <w:rsid w:val="69567192"/>
    <w:rsid w:val="69E2252C"/>
    <w:rsid w:val="6A52659E"/>
    <w:rsid w:val="6B870356"/>
    <w:rsid w:val="6BE35B73"/>
    <w:rsid w:val="6C107A65"/>
    <w:rsid w:val="6CCE4B92"/>
    <w:rsid w:val="6D092287"/>
    <w:rsid w:val="6D205895"/>
    <w:rsid w:val="6D7E0FF0"/>
    <w:rsid w:val="6DF758F9"/>
    <w:rsid w:val="731743ED"/>
    <w:rsid w:val="74126C56"/>
    <w:rsid w:val="74C23D1D"/>
    <w:rsid w:val="75886832"/>
    <w:rsid w:val="766D13E6"/>
    <w:rsid w:val="773771F4"/>
    <w:rsid w:val="7738712D"/>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2026-01-30T06:27:35Z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